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1A" w:rsidRPr="00F46503" w:rsidRDefault="0072031A" w:rsidP="0072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Иркутской области</w:t>
      </w:r>
    </w:p>
    <w:p w:rsidR="0072031A" w:rsidRPr="00F46503" w:rsidRDefault="0072031A" w:rsidP="0072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Областное государственное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бюджетное профессиональное </w:t>
      </w:r>
      <w:r w:rsidRPr="00F4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 «Иркутский базовый медицинский колледж»</w:t>
      </w:r>
    </w:p>
    <w:p w:rsidR="0072031A" w:rsidRDefault="0072031A" w:rsidP="0072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72031A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252639</wp:posOffset>
                </wp:positionV>
                <wp:extent cx="2519680" cy="8432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84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031A" w:rsidRDefault="0072031A" w:rsidP="006F63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3D2" w:rsidRPr="006D1B1D" w:rsidRDefault="006F63D2" w:rsidP="006F63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D1B1D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6F63D2" w:rsidRPr="006D1B1D" w:rsidRDefault="006F63D2" w:rsidP="006F63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D1B1D">
                              <w:rPr>
                                <w:rFonts w:ascii="Times New Roman" w:hAnsi="Times New Roman"/>
                              </w:rPr>
                              <w:t>Методист отделения ДПО</w:t>
                            </w:r>
                          </w:p>
                          <w:p w:rsidR="006F63D2" w:rsidRDefault="006F63D2" w:rsidP="006F63D2">
                            <w:r w:rsidRPr="006D1B1D">
                              <w:rPr>
                                <w:rFonts w:ascii="Times New Roman" w:hAnsi="Times New Roman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3.6pt;margin-top:19.9pt;width:198.4pt;height:6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" fillcolor="white [3201]" stroked="f" strokeweight=".5pt">
                <v:textbox>
                  <w:txbxContent>
                    <w:p w:rsidR="0072031A" w:rsidRDefault="0072031A" w:rsidP="006F63D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6F63D2" w:rsidRPr="006D1B1D" w:rsidRDefault="006F63D2" w:rsidP="006F63D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D1B1D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6F63D2" w:rsidRPr="006D1B1D" w:rsidRDefault="006F63D2" w:rsidP="006F63D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D1B1D">
                        <w:rPr>
                          <w:rFonts w:ascii="Times New Roman" w:hAnsi="Times New Roman"/>
                        </w:rPr>
                        <w:t>Методист отделения ДПО</w:t>
                      </w:r>
                    </w:p>
                    <w:p w:rsidR="006F63D2" w:rsidRDefault="006F63D2" w:rsidP="006F63D2">
                      <w:r w:rsidRPr="006D1B1D">
                        <w:rPr>
                          <w:rFonts w:ascii="Times New Roman" w:hAnsi="Times New Roman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63D2" w:rsidRDefault="0072031A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3502751</wp:posOffset>
                </wp:positionH>
                <wp:positionV relativeFrom="paragraph">
                  <wp:posOffset>131354</wp:posOffset>
                </wp:positionV>
                <wp:extent cx="2705100" cy="109347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9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3D2" w:rsidRPr="00AF1146" w:rsidRDefault="006F63D2" w:rsidP="006F63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F1146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6F63D2" w:rsidRPr="00AF1146" w:rsidRDefault="006F63D2" w:rsidP="006F63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F1146">
                              <w:rPr>
                                <w:rFonts w:ascii="Times New Roman" w:hAnsi="Times New Roman"/>
                              </w:rPr>
                              <w:t>Зам. директора по ДПО</w:t>
                            </w:r>
                          </w:p>
                          <w:p w:rsidR="006F63D2" w:rsidRDefault="006F63D2" w:rsidP="006F63D2">
                            <w:r w:rsidRPr="00AF1146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75.8pt;margin-top:10.35pt;width:213pt;height:86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" fillcolor="white [3201]" stroked="f" strokeweight=".5pt">
                <v:textbox>
                  <w:txbxContent>
                    <w:p w:rsidR="006F63D2" w:rsidRPr="00AF1146" w:rsidRDefault="006F63D2" w:rsidP="006F63D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F1146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6F63D2" w:rsidRPr="00AF1146" w:rsidRDefault="006F63D2" w:rsidP="006F63D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F1146">
                        <w:rPr>
                          <w:rFonts w:ascii="Times New Roman" w:hAnsi="Times New Roman"/>
                        </w:rPr>
                        <w:t>Зам. директора по ДПО</w:t>
                      </w:r>
                    </w:p>
                    <w:p w:rsidR="006F63D2" w:rsidRDefault="006F63D2" w:rsidP="006F63D2">
                      <w:r w:rsidRPr="00AF1146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243567</wp:posOffset>
                </wp:positionV>
                <wp:extent cx="2743200" cy="1632857"/>
                <wp:effectExtent l="0" t="0" r="0" b="57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3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3D2" w:rsidRPr="00DA3C30" w:rsidRDefault="006F63D2" w:rsidP="006F63D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6F63D2" w:rsidRPr="00DA3C30" w:rsidRDefault="006F63D2" w:rsidP="006F63D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6F63D2" w:rsidRPr="00DA3C30" w:rsidRDefault="006F63D2" w:rsidP="006F63D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6F63D2" w:rsidRPr="00DA3C30" w:rsidRDefault="006F63D2" w:rsidP="006F63D2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6F63D2" w:rsidRPr="00DA3C30" w:rsidRDefault="006F63D2" w:rsidP="006F63D2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6F63D2" w:rsidRPr="00DA3C30" w:rsidRDefault="006F63D2" w:rsidP="006F63D2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 w:rsidRPr="00DA3C30"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DA3C30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6F63D2" w:rsidRPr="00DA3C30" w:rsidRDefault="006F63D2" w:rsidP="006F63D2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A3C30"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6F63D2" w:rsidRPr="00DA3C30" w:rsidRDefault="006F63D2" w:rsidP="006F63D2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6F63D2" w:rsidRDefault="006F63D2" w:rsidP="006F63D2">
                            <w:r w:rsidRPr="00DA3C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6F63D2" w:rsidRDefault="006F6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-33.6pt;margin-top:19.2pt;width:3in;height:12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" fillcolor="white [3201]" stroked="f" strokeweight=".5pt">
                <v:textbox>
                  <w:txbxContent>
                    <w:p w:rsidR="006F63D2" w:rsidRPr="00DA3C30" w:rsidRDefault="006F63D2" w:rsidP="006F63D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6F63D2" w:rsidRPr="00DA3C30" w:rsidRDefault="006F63D2" w:rsidP="006F63D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6F63D2" w:rsidRPr="00DA3C30" w:rsidRDefault="006F63D2" w:rsidP="006F63D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6F63D2" w:rsidRPr="00DA3C30" w:rsidRDefault="006F63D2" w:rsidP="006F63D2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6F63D2" w:rsidRPr="00DA3C30" w:rsidRDefault="006F63D2" w:rsidP="006F63D2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6F63D2" w:rsidRPr="00DA3C30" w:rsidRDefault="006F63D2" w:rsidP="006F63D2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 w:rsidRPr="00DA3C30"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DA3C30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6F63D2" w:rsidRPr="00DA3C30" w:rsidRDefault="006F63D2" w:rsidP="006F63D2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A3C30"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6F63D2" w:rsidRPr="00DA3C30" w:rsidRDefault="006F63D2" w:rsidP="006F63D2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6F63D2" w:rsidRDefault="006F63D2" w:rsidP="006F63D2">
                      <w:r w:rsidRPr="00DA3C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6F63D2" w:rsidRDefault="006F63D2"/>
                  </w:txbxContent>
                </v:textbox>
              </v:shape>
            </w:pict>
          </mc:Fallback>
        </mc:AlternateContent>
      </w: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6F63D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p w:rsidR="0072031A" w:rsidRPr="00061D02" w:rsidRDefault="0072031A" w:rsidP="0072031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72031A" w:rsidRDefault="0072031A" w:rsidP="0072031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Цикла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повышения квалификации</w:t>
      </w:r>
      <w:r w:rsidRPr="00061D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72031A" w:rsidRPr="00061D02" w:rsidRDefault="0072031A" w:rsidP="0072031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3EDE">
        <w:rPr>
          <w:rFonts w:ascii="Times New Roman" w:hAnsi="Times New Roman"/>
          <w:b/>
          <w:sz w:val="20"/>
          <w:szCs w:val="20"/>
        </w:rPr>
        <w:t>«</w:t>
      </w:r>
      <w:bookmarkStart w:id="0" w:name="_GoBack"/>
      <w:r w:rsidRPr="00B03EDE">
        <w:rPr>
          <w:rFonts w:ascii="Times New Roman" w:hAnsi="Times New Roman"/>
          <w:b/>
          <w:sz w:val="20"/>
          <w:szCs w:val="20"/>
        </w:rPr>
        <w:t>СОВРЕМЕННЫЕ АСПЕКТЫ АКУШЕРСКОЙ ПОМОЩИ В РОДОВСПОМОГАТЕЛЬНЫХ УЧРЕЖДЕНИЯХ</w:t>
      </w:r>
      <w:bookmarkEnd w:id="0"/>
      <w:r w:rsidRPr="00B03EDE">
        <w:rPr>
          <w:rFonts w:ascii="Times New Roman" w:hAnsi="Times New Roman"/>
          <w:b/>
          <w:sz w:val="20"/>
          <w:szCs w:val="20"/>
        </w:rPr>
        <w:t>»</w:t>
      </w:r>
    </w:p>
    <w:p w:rsidR="0072031A" w:rsidRPr="00061D02" w:rsidRDefault="0072031A" w:rsidP="0072031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061D02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овышение квалификации</w:t>
      </w:r>
    </w:p>
    <w:p w:rsidR="0072031A" w:rsidRPr="00061D02" w:rsidRDefault="0072031A" w:rsidP="0072031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lang w:eastAsia="ru-RU"/>
        </w:rPr>
        <w:t>Категория слушателей:</w:t>
      </w:r>
      <w:r w:rsidRPr="00061D02">
        <w:rPr>
          <w:rFonts w:ascii="Times New Roman" w:eastAsia="Times New Roman" w:hAnsi="Times New Roman" w:cs="Times New Roman"/>
          <w:lang w:eastAsia="ru-RU"/>
        </w:rPr>
        <w:t xml:space="preserve"> специалисты со средним медицинским образованием по специальности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Акушерское </w:t>
      </w:r>
      <w:r w:rsidRPr="00061D02">
        <w:rPr>
          <w:rFonts w:ascii="Times New Roman" w:eastAsia="Times New Roman" w:hAnsi="Times New Roman" w:cs="Times New Roman"/>
          <w:lang w:eastAsia="ru-RU"/>
        </w:rPr>
        <w:t xml:space="preserve"> дело</w:t>
      </w:r>
      <w:proofErr w:type="gramEnd"/>
    </w:p>
    <w:p w:rsidR="0072031A" w:rsidRPr="00142540" w:rsidRDefault="0072031A" w:rsidP="0072031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lang w:eastAsia="ru-RU"/>
        </w:rPr>
        <w:t>Срок обучения: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2540">
        <w:rPr>
          <w:rFonts w:ascii="Times New Roman" w:eastAsia="Times New Roman" w:hAnsi="Times New Roman" w:cs="Times New Roman"/>
          <w:lang w:eastAsia="ru-RU"/>
        </w:rPr>
        <w:t>216  час</w:t>
      </w:r>
    </w:p>
    <w:p w:rsidR="0072031A" w:rsidRPr="00061D02" w:rsidRDefault="0072031A" w:rsidP="0072031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1D02">
        <w:rPr>
          <w:rFonts w:ascii="Times New Roman" w:eastAsia="Times New Roman" w:hAnsi="Times New Roman" w:cs="Times New Roman"/>
          <w:b/>
          <w:lang w:eastAsia="ru-RU"/>
        </w:rPr>
        <w:t>Режим занятий:</w:t>
      </w:r>
      <w:r w:rsidRPr="00061D02">
        <w:rPr>
          <w:rFonts w:ascii="Times New Roman" w:eastAsia="Times New Roman" w:hAnsi="Times New Roman" w:cs="Times New Roman"/>
          <w:lang w:eastAsia="ru-RU"/>
        </w:rPr>
        <w:t xml:space="preserve"> 6 учебных часов в день</w:t>
      </w:r>
    </w:p>
    <w:p w:rsidR="0072031A" w:rsidRDefault="0072031A" w:rsidP="0072031A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 w:rsidRPr="00061D02">
        <w:rPr>
          <w:rFonts w:ascii="Times New Roman" w:eastAsia="Courier New" w:hAnsi="Times New Roman" w:cs="Times New Roman"/>
          <w:b/>
          <w:lang w:eastAsia="ru-RU"/>
        </w:rPr>
        <w:t xml:space="preserve"> Форма обучения:</w:t>
      </w:r>
      <w:r w:rsidRPr="00061D02">
        <w:rPr>
          <w:rFonts w:ascii="Times New Roman" w:eastAsia="Courier New" w:hAnsi="Times New Roman" w:cs="Times New Roman"/>
          <w:lang w:eastAsia="ru-RU"/>
        </w:rPr>
        <w:t xml:space="preserve"> очная</w:t>
      </w:r>
    </w:p>
    <w:p w:rsidR="006F63D2" w:rsidRPr="00061D02" w:rsidRDefault="006F63D2" w:rsidP="00061D02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43"/>
        <w:gridCol w:w="7223"/>
        <w:gridCol w:w="177"/>
        <w:gridCol w:w="532"/>
        <w:gridCol w:w="35"/>
        <w:gridCol w:w="567"/>
        <w:gridCol w:w="135"/>
        <w:gridCol w:w="715"/>
        <w:gridCol w:w="152"/>
      </w:tblGrid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114585523"/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Всего</w:t>
            </w:r>
          </w:p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часов: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ео</w:t>
            </w:r>
          </w:p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Прак</w:t>
            </w:r>
            <w:proofErr w:type="spellEnd"/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тика</w:t>
            </w:r>
          </w:p>
        </w:tc>
      </w:tr>
      <w:tr w:rsidR="00061D02" w:rsidRPr="00061D02" w:rsidTr="00061D02">
        <w:trPr>
          <w:trHeight w:val="960"/>
        </w:trPr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УНИВЕРСАЛЬНЫЙ МОДУЛЬ №1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Нормативно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-правовое регулирование отношений в сфере здравоохранения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rPr>
          <w:trHeight w:val="1323"/>
        </w:trPr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Права и обязанности средних медицинских работников при оказании медицинской помощи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lastRenderedPageBreak/>
              <w:t>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Times New Roman" w:hAnsi="Times New Roman" w:cs="Times New Roman"/>
                <w:b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Основные причины проявления синдрома профессионального выгорания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Характеристика синдрома эмоционального выгорания (СЭВ). Симптомы СЭВ. Изменение поведения. Изменение в чувствах. Изменение в мышлении. Изменения здоровья. Фазы развития СЭВ (по Селье). Профилактика СЭВ. Индивидуальная защита и организационные подходы.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2.3 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Основы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конфликтологии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Понятие о конфликтах. Основные характеристики конфликтов. Типы конфликтов. Функции конфликтов. Основные принципы урегулирования конфликтов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>Лекция  Электронный</w:t>
            </w:r>
            <w:proofErr w:type="gramEnd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документооборот, интернет, электронная почта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D02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D02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  <w:u w:val="single"/>
              </w:rPr>
              <w:t>3.2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 Медицинские информационные системы – МИС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libri" w:hAnsi="Times New Roman" w:cs="Times New Roman"/>
                <w:b/>
                <w:u w:val="single"/>
              </w:rPr>
              <w:t>Лекция  Организация</w:t>
            </w:r>
            <w:proofErr w:type="gramEnd"/>
            <w:r w:rsidRPr="00061D02">
              <w:rPr>
                <w:rFonts w:ascii="Times New Roman" w:eastAsia="Calibri" w:hAnsi="Times New Roman" w:cs="Times New Roman"/>
                <w:b/>
                <w:u w:val="single"/>
              </w:rPr>
              <w:t xml:space="preserve"> электронного документооборота в МО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Преимущества ЭДО.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Порядок организации системы электронного документооборота в сфере медицины. Приказ Минздрава от 07.09.2020 № 947н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Практическое </w:t>
            </w:r>
            <w:proofErr w:type="spellStart"/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занятие.Отработка</w:t>
            </w:r>
            <w:proofErr w:type="spellEnd"/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практических навыков при работе с базами данных. Ведение медицинской документации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Содержание: Технологии поиска тематической (профессиональной) информации в сети </w:t>
            </w:r>
            <w:proofErr w:type="spellStart"/>
            <w:r w:rsidRPr="00061D02">
              <w:rPr>
                <w:rFonts w:ascii="Times New Roman" w:eastAsia="Candara" w:hAnsi="Times New Roman" w:cs="Times New Roman"/>
                <w:spacing w:val="3"/>
              </w:rPr>
              <w:t>Internet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. </w:t>
            </w:r>
            <w:proofErr w:type="gramStart"/>
            <w:r w:rsidRPr="00061D02">
              <w:rPr>
                <w:rFonts w:ascii="Times New Roman" w:eastAsia="Calibri" w:hAnsi="Times New Roman" w:cs="Times New Roman"/>
              </w:rPr>
              <w:t>Поиск  информации</w:t>
            </w:r>
            <w:proofErr w:type="gramEnd"/>
            <w:r w:rsidRPr="00061D02">
              <w:rPr>
                <w:rFonts w:ascii="Times New Roman" w:eastAsia="Calibri" w:hAnsi="Times New Roman" w:cs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 Специализированные (медицинские) ресурсы сети Интернет. </w:t>
            </w: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 xml:space="preserve">УНИВЕРСАЛЬНЫЙ </w:t>
            </w:r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МОДУЛЬ  №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2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Правовая защита пациента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Содержание  учебного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материала: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УНИВЕРСАЛЬНЫЙ МОДУЛЬ №2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Основы организации инфекционной безопасности.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Методы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обеззараживания.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061D02">
              <w:rPr>
                <w:rFonts w:ascii="Times New Roman" w:eastAsia="Candara" w:hAnsi="Times New Roman" w:cs="Times New Roman"/>
                <w:spacing w:val="3"/>
              </w:rPr>
              <w:t>дезинфектантами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Стерилизация. Методы, способы, режимы. Контроль стерильности. Оценка качества стерилизации. Правила работы со стерильным материалом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Практическое занятие «Технологии дезинфекции, предстерилизационной очистки и стерилизации»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ВИЧ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– инфекция. Вирусные гепатиты В и С</w:t>
            </w: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.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Определение ВИЧ-инфекции. Эпидемиология. Этиология. Источники заражения.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Вирусные гепатиты. Типы. Механизм заражения. Пути передачи. Клинические проявления. Критерии специфической диагностики. Профилактика.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 «Решение ситуационных задач по теме занятия «</w:t>
            </w:r>
            <w:proofErr w:type="spellStart"/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Вич</w:t>
            </w:r>
            <w:proofErr w:type="spellEnd"/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-инфекция. Вирусные гепатиты» Дифференцированный зачёт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Безопасное перемещение пациентов.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Обеспечение благоприятной психологической среды. 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Этика, деонтология. </w:t>
            </w:r>
            <w:proofErr w:type="spellStart"/>
            <w:r w:rsidRPr="00061D02">
              <w:rPr>
                <w:rFonts w:ascii="Times New Roman" w:eastAsia="Candara" w:hAnsi="Times New Roman" w:cs="Times New Roman"/>
                <w:spacing w:val="3"/>
              </w:rPr>
              <w:t>Лечебно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УНИВЕРСАЛЬНЫЙМОДУЛЬ №3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30"/>
                <w:szCs w:val="30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spacing w:val="3"/>
                <w:u w:val="single"/>
              </w:rPr>
              <w:t>Т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ерминальные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состояния. Базовая сердечно-легочная реанимация</w:t>
            </w:r>
            <w:r w:rsidRPr="00061D02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«терминальное состояние», причины, стадии и клинические проявления. </w:t>
            </w:r>
            <w:proofErr w:type="spellStart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>Базовыереанимационные</w:t>
            </w:r>
            <w:proofErr w:type="spellEnd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показания к их началу. Критерии оценки тяжести состояния</w:t>
            </w:r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пациента.</w:t>
            </w: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Алгоритм проведения сердечно-легочной реанимации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Практическое </w:t>
            </w:r>
            <w:proofErr w:type="spell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заняти</w:t>
            </w:r>
            <w:proofErr w:type="spell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"Отработка практических навыков по СЛР"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реанимации при участии одного или двух реаниматоров. Контроль </w:t>
            </w:r>
            <w:proofErr w:type="spellStart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эффективностиреанимационных</w:t>
            </w:r>
            <w:proofErr w:type="spellEnd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мероприятий. Техника безопасности при проведении базовой сердечно-легочной реанимации. Окончание реанимационных мероприятий. Констатация смерти.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sz w:val="24"/>
                <w:szCs w:val="24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Неотложная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помощь при травмах и травматическом шоке, несчастных случаях, представляющих угрозу для жизни пострадавшего.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Определение, виды травм по характеру </w:t>
            </w:r>
            <w:proofErr w:type="spellStart"/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повреждения.</w:t>
            </w:r>
            <w:r w:rsidRPr="00061D02">
              <w:rPr>
                <w:rFonts w:ascii="Times New Roman" w:eastAsia="Calibri" w:hAnsi="Times New Roman" w:cs="Times New Roman"/>
              </w:rPr>
              <w:t>Механические</w:t>
            </w:r>
            <w:proofErr w:type="spellEnd"/>
            <w:proofErr w:type="gramEnd"/>
            <w:r w:rsidRPr="00061D02">
              <w:rPr>
                <w:rFonts w:ascii="Times New Roman" w:eastAsia="Calibri" w:hAnsi="Times New Roman" w:cs="Times New Roman"/>
              </w:rPr>
              <w:t xml:space="preserve">, физические, химические, биологические и комбинированные </w:t>
            </w:r>
            <w:proofErr w:type="spellStart"/>
            <w:r w:rsidRPr="00061D02">
              <w:rPr>
                <w:rFonts w:ascii="Times New Roman" w:eastAsia="Calibri" w:hAnsi="Times New Roman" w:cs="Times New Roman"/>
              </w:rPr>
              <w:t>травмы.</w:t>
            </w:r>
            <w:r w:rsidRPr="00061D02">
              <w:rPr>
                <w:rFonts w:ascii="Times New Roman" w:eastAsia="Candara" w:hAnsi="Times New Roman" w:cs="Times New Roman"/>
                <w:spacing w:val="3"/>
              </w:rPr>
              <w:t>Особенности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оказания доврачебной помощи при </w:t>
            </w:r>
            <w:proofErr w:type="spellStart"/>
            <w:r w:rsidRPr="00061D02">
              <w:rPr>
                <w:rFonts w:ascii="Times New Roman" w:eastAsia="Candara" w:hAnsi="Times New Roman" w:cs="Times New Roman"/>
                <w:spacing w:val="3"/>
              </w:rPr>
              <w:t>травмахна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догоспитальном этапе. Травматический шок. Определение. Факторы развития шока. Классификация. Степени тяжести шока. Клиническая картина Принципы оказания неотложной помощи при травмах, травматическом шоке на догоспитальном этапе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Практическое </w:t>
            </w:r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занятие </w:t>
            </w:r>
            <w:r w:rsidRPr="00061D02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Отработка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практических навыков при оказании доврачебной помощи при травмах и травматическом </w:t>
            </w:r>
            <w:proofErr w:type="spell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шоке.</w:t>
            </w:r>
            <w:r w:rsidRPr="00061D02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061D02">
              <w:rPr>
                <w:rFonts w:ascii="Times New Roman" w:eastAsia="Times New Roman" w:hAnsi="Times New Roman" w:cs="Times New Roman"/>
              </w:rPr>
              <w:t xml:space="preserve">  учебного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Освоение методов остановки </w:t>
            </w:r>
            <w:proofErr w:type="spellStart"/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кровотечений.Первая</w:t>
            </w:r>
            <w:proofErr w:type="spellEnd"/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помощь при геморрагическом </w:t>
            </w:r>
            <w:proofErr w:type="spellStart"/>
            <w:r w:rsidRPr="00061D02">
              <w:rPr>
                <w:rFonts w:ascii="Times New Roman" w:eastAsia="Candara" w:hAnsi="Times New Roman" w:cs="Times New Roman"/>
                <w:spacing w:val="3"/>
              </w:rPr>
              <w:t>шоке.Правила</w:t>
            </w:r>
            <w:proofErr w:type="spellEnd"/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 обработки ран и наложения стерильных повязок.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Неотложная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помощь при </w:t>
            </w:r>
            <w:proofErr w:type="spell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отравлениях,острых</w:t>
            </w:r>
            <w:proofErr w:type="spell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аллергических реакциях.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D02">
              <w:rPr>
                <w:rFonts w:ascii="Times New Roman" w:eastAsia="Times New Roman" w:hAnsi="Times New Roman" w:cs="Times New Roman"/>
              </w:rPr>
              <w:t>Понятие об экзогенных отравлениях. Определение. Факторы развития. Пути поступления яда в организм. Выведение ядов. Действия при острых отравлениях, неотложная помощь на догоспитальном этапе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>Лекция  Неотложная</w:t>
            </w:r>
            <w:proofErr w:type="gramEnd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медицинская помощь при термических поражениях.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 угрожающих жизни нарушений при переохлаждении, тепловом </w:t>
            </w:r>
            <w:proofErr w:type="spellStart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>исолнечном</w:t>
            </w:r>
            <w:proofErr w:type="spellEnd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ударах. Неотложная помощь </w:t>
            </w:r>
            <w:proofErr w:type="spellStart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>приутоплении</w:t>
            </w:r>
            <w:proofErr w:type="spellEnd"/>
            <w:r w:rsidRPr="00061D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электротравме, поражении молнией.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Практическое </w:t>
            </w:r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занятие  Отработка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практических навыков при оказании доврачебной помощи при термических повреждениях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lastRenderedPageBreak/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Доврачебная помощь и особенности проведения реанимационных мероприятий при термических </w:t>
            </w:r>
            <w:proofErr w:type="gramStart"/>
            <w:r w:rsidRPr="00061D02">
              <w:rPr>
                <w:rFonts w:ascii="Times New Roman" w:eastAsia="Candara" w:hAnsi="Times New Roman" w:cs="Times New Roman"/>
                <w:spacing w:val="3"/>
              </w:rPr>
              <w:t>повреждениях(</w:t>
            </w:r>
            <w:proofErr w:type="gramEnd"/>
            <w:r w:rsidRPr="00061D02">
              <w:rPr>
                <w:rFonts w:ascii="Times New Roman" w:eastAsia="Candara" w:hAnsi="Times New Roman" w:cs="Times New Roman"/>
                <w:spacing w:val="3"/>
              </w:rPr>
              <w:t>общее охлаждение, отморожения, ожоги, утопление, электротравма).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061D02" w:rsidRPr="00061D02" w:rsidTr="00061D02">
        <w:tc>
          <w:tcPr>
            <w:tcW w:w="992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Лекция  </w:t>
            </w:r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Современные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принципы медицинского обеспечения населения при Ч.С. и катастрофах.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</w:rPr>
              <w:t>Содержание  учебного</w:t>
            </w:r>
            <w:proofErr w:type="gramEnd"/>
            <w:r w:rsidRPr="00061D02">
              <w:rPr>
                <w:rFonts w:ascii="Times New Roman" w:eastAsia="Times New Roman" w:hAnsi="Times New Roman" w:cs="Times New Roman"/>
              </w:rPr>
              <w:t xml:space="preserve"> материала: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 xml:space="preserve">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 xml:space="preserve">Практическое </w:t>
            </w:r>
            <w:proofErr w:type="gramStart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>занятие  «</w:t>
            </w:r>
            <w:proofErr w:type="gramEnd"/>
            <w:r w:rsidRPr="00061D02">
              <w:rPr>
                <w:rFonts w:ascii="Times New Roman" w:eastAsia="Candara" w:hAnsi="Times New Roman" w:cs="Times New Roman"/>
                <w:b/>
                <w:spacing w:val="3"/>
              </w:rPr>
              <w:t xml:space="preserve">Отработка основных навыков оказания первой медицинской помощи при ЧС» </w:t>
            </w:r>
            <w:r w:rsidRPr="00061D02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1D02" w:rsidRPr="00061D02" w:rsidTr="00061D02">
        <w:tc>
          <w:tcPr>
            <w:tcW w:w="8358" w:type="dxa"/>
            <w:gridSpan w:val="4"/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061D02">
              <w:rPr>
                <w:rFonts w:ascii="Times New Roman" w:eastAsia="Candara" w:hAnsi="Times New Roman" w:cs="Times New Roman"/>
                <w:spacing w:val="3"/>
              </w:rPr>
              <w:t>ИТОГО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</w:t>
            </w:r>
          </w:p>
        </w:tc>
      </w:tr>
      <w:bookmarkEnd w:id="1"/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25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before="100" w:beforeAutospacing="1" w:after="100" w:afterAutospacing="1"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  <w:lang w:eastAsia="ru-RU"/>
              </w:rPr>
            </w:pPr>
            <w:r w:rsidRPr="00061D02">
              <w:rPr>
                <w:rFonts w:ascii="Times New Roman" w:eastAsia="Candara" w:hAnsi="Times New Roman" w:cs="Times New Roman"/>
                <w:b/>
                <w:spacing w:val="3"/>
                <w:lang w:eastAsia="ru-RU"/>
              </w:rPr>
              <w:t>МОДУЛЬ №4</w:t>
            </w:r>
          </w:p>
          <w:p w:rsidR="00061D02" w:rsidRPr="00061D02" w:rsidRDefault="00061D02" w:rsidP="00061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«СОВРЕМЕННЫЕ АСПЕКТЫ АКУШЕРСКОЙ ПОМОЩИ В РОДОВСПОМОГАТЕЛЬНЫХ УЧРЕЖДЕНИЯХ»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152: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54: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98: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2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Акушерство.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76: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Принципы организации акушерско-гинекологической помощи. 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родовспомогательных учреждений.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работы, нормативные документы. Организация приема беременных, выявление, учет, динамическое наблюдение.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ind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74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Лекция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Антенатальная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охрана плода.</w:t>
            </w:r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61D02" w:rsidRDefault="00061D02" w:rsidP="00061D0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Врожденные и наследственные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болезни. Этиологические факторы, диагностика состояний плода, мероприятия по охране плода. Гигиена, </w:t>
            </w:r>
            <w:proofErr w:type="spellStart"/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диэтетика</w:t>
            </w:r>
            <w:proofErr w:type="spellEnd"/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беременных.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86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Организация работы по выявлению женщин групп риска во время беременности и во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внебеременном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состоянии.</w:t>
            </w:r>
          </w:p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контрацепция, показания к прерыванию беременности.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82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Лекция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Диагностика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беременности, определение срока дородового отпуска.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Методы акушерского обследования беременных. Диагностика ранних и поздних сроков. Акушерский анамнез, оформление.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Клиническое течение и ведение неосложненных родов. Современные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принципы обезболивания родов.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Родовой акт. Биомеханизм при переднем и заднем виде затылочного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предлежания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. Ведение родов. Использование средств обезболивания. Наблюдение за роженицей. Акушерская асептика и антисептика. Защита промежности. Туалет родильницы, обработка новорожденного.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Courier New" w:hAnsi="Times New Roman" w:cs="Times New Roman"/>
                <w:color w:val="000000"/>
                <w:u w:val="single"/>
                <w:lang w:eastAsia="ru-RU"/>
              </w:rPr>
              <w:t xml:space="preserve">Нормальный послеродовой период и его ведение.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Физиологические процессы, клиническое обследование родильницы, уход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за родильницей, туалет родильницы, особенности ведения родильницы со швами, после оперативного </w:t>
            </w:r>
            <w:proofErr w:type="spell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родоразрешения</w:t>
            </w:r>
            <w:proofErr w:type="spell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, с тяжелыми формами гестозов, с сердечно-сосудистыми заболеваниями, </w:t>
            </w:r>
            <w:proofErr w:type="gram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мертво- рождением</w:t>
            </w:r>
            <w:proofErr w:type="gram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Беременность и роды при тазовом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предлежании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плода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Классификация, диагностика тазового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предлежания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, биомеханизм родов, ручное пособие. Применение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коррегирующей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гимнастики при тазовых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предлежаниях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Ранние и поздние гестозы беременных. Профилактика гестозов беременных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Этиология, классификация, принципы лечения эклампсии, показания к направлению в стационар, наблюдение за беременными групп риска по гестозам, критерии транспортабельности, неотложная помощь при тяжелых формах гестозов. Работа акушерки по профилактике гестозов.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Ведение беременности и родов при некоторых видах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экстрагенитальной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патологии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Клинические признаки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экстрагенитальной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патологии, методы лечения, сроки госпитализации, методы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родоразрешения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, ведение родов, послеродового периода.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Лабораторные исследования при осложнениях беременности.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Забор материала, простейшие клинико-лабораторные анализы, свойственные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экстрагенитальной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патологии: определение СОЭ, лейкоцитов, гемоглобина, свертываемости крови, белка в моче.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Основы ЭКГ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Методика накладывания электродов, запись ЭКГ, техника безопасности, расшифровка основных показателей ЭКГ.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Самопроизвольное прерывание беременности. Преждевременные</w:t>
            </w:r>
          </w:p>
          <w:p w:rsidR="00061D02" w:rsidRDefault="00061D02" w:rsidP="00061D0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роды, переношенная беременность.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1D02" w:rsidRDefault="00061D02" w:rsidP="00061D02">
            <w:pPr>
              <w:widowControl w:val="0"/>
              <w:spacing w:after="0" w:line="254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Этиология, группы повышенного риска, клиника,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диагностика, терапия, профилактика, неотложная помощь. Тактика ведения преждевременных родов, тактика ведения запоздалых родов.</w:t>
            </w:r>
          </w:p>
          <w:p w:rsidR="00F40504" w:rsidRPr="00061D02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F40504" w:rsidP="00061D02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Узкий таз в современном акушерстве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Этиология, классификация, диагностика, биомеханизм родов, тактика ведения беременных с узким тазом, профилактика родовой травмы.</w:t>
            </w:r>
          </w:p>
          <w:p w:rsidR="00F40504" w:rsidRPr="00061D02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F40504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Патология сократительной деятельности матки в родах.</w:t>
            </w:r>
            <w:r w:rsidR="00061D02"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Этиопатогенез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, классификация, диагностика слабости родовой деятельности, «биологическая готовность» к родам, тактика ведения родов, применение гормонов, наблюдение за роженицами, профилактика аномалий родовых сил.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F40504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Неправильные положения и </w:t>
            </w:r>
            <w:proofErr w:type="spellStart"/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предлежания</w:t>
            </w:r>
            <w:proofErr w:type="spellEnd"/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плода, особенности</w:t>
            </w:r>
          </w:p>
          <w:p w:rsidR="00F40504" w:rsidRDefault="00061D02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течения и ведения родов при них.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1D02" w:rsidRDefault="00061D02" w:rsidP="00F405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Течение и механизм родов,</w:t>
            </w:r>
            <w:r w:rsidR="00F40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помощь акушерки, прогноз, диагностика поперечных положений и разгибательных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предлежаний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, своевременное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родоразрешение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0504" w:rsidRPr="00061D02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04" w:rsidRDefault="00F40504" w:rsidP="00F4050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Кровотечения во время беременности.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:rsidR="00061D02" w:rsidRPr="00061D02" w:rsidRDefault="00061D02" w:rsidP="00061D0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Причины кровотечений, определение физиологической, пограничной и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патологической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кровопотери, классификация, диагностика, оказание помощи. Дородовая госпитализация.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04" w:rsidRPr="00F40504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F4050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Кровотечения в родах, в раннем послеродовом периоде. </w:t>
            </w:r>
          </w:p>
          <w:p w:rsidR="00061D02" w:rsidRPr="00061D02" w:rsidRDefault="00061D02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Причины,</w:t>
            </w:r>
            <w:r w:rsidR="00F405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  <w:proofErr w:type="gram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кровопотери, тактика акушерки при различных видах акушерских кровотечений, доврачебная помощь,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промедикация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, профилактика.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Акушерский (материнский травматизм).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Этиология, частота,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классификация, диагностика, лечение, профилактика, заблаговременная госпитализация. Техника наложения швов, приемы защиты промежности. Анестезия.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19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F40504" w:rsidP="00F4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Переливание крови и кровезамещающих растворов в акушерстве.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Значение резус-фактора в акушерстве.</w:t>
            </w: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Методика и техника переливания крови, кровезаменителей, профилактика и лечение осложнений. Ведение беременных отрицательным резус-фактором крови, антенатальная диагностика гемолитической болезни.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1A2BCB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Гипоксия плода, асфиксия новорожденного, принципы реанимации.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Этиопатогенез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, диагностика, степени профилактики, терапия </w:t>
            </w:r>
            <w:proofErr w:type="gram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внутри-утробной</w:t>
            </w:r>
            <w:proofErr w:type="gram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гипоксии плода,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родоразрешающие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операции. Асфиксия плода, степени, реанимация новорожденного, оценка состояния в динамике.</w:t>
            </w:r>
          </w:p>
          <w:p w:rsidR="001A2BCB" w:rsidRPr="00061D02" w:rsidRDefault="001A2BCB" w:rsidP="001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14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1A2BCB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Акушерские операции. Подготовка к операции. Асептика и антисептика.</w:t>
            </w:r>
          </w:p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прерывания беременности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Общие сведения об акушерских</w:t>
            </w:r>
          </w:p>
          <w:p w:rsidR="00061D02" w:rsidRPr="00061D02" w:rsidRDefault="00061D02" w:rsidP="00061D0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операциях, показания, подготовка, инструментарий, роль акушерки.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2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CB" w:rsidRDefault="001A2BCB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Операции, подготавливающие родовые пути. </w:t>
            </w:r>
            <w:proofErr w:type="spellStart"/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Родоразрешающие</w:t>
            </w:r>
            <w:proofErr w:type="spellEnd"/>
            <w:r w:rsidR="00061D02" w:rsidRPr="00061D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операции.</w:t>
            </w:r>
            <w:r w:rsidR="00061D02"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1D02" w:rsidRPr="00061D02" w:rsidRDefault="00061D02" w:rsidP="00061D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Кесарево сечение. Операции, подготавливающие родовые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 xml:space="preserve">пути, </w:t>
            </w:r>
            <w:proofErr w:type="spellStart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родоразрешающие</w:t>
            </w:r>
            <w:proofErr w:type="spellEnd"/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, при повреждении родовых путей, при разрыве матки, в послеродовом и раннем послеродовом периодах. Условия, техника, исходы.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5200A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Акушерские операции</w:t>
            </w:r>
          </w:p>
          <w:p w:rsidR="00061D02" w:rsidRPr="00061D02" w:rsidRDefault="00061D02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Техника операций, набор инструментария, материалов; участие акушерки в качестве операционной сестры; </w:t>
            </w:r>
            <w:proofErr w:type="spell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ассистенция</w:t>
            </w:r>
            <w:proofErr w:type="spell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врачу при наложении щипцов; ушивание разрывов шейки промежности.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061D02">
            <w:pPr>
              <w:widowControl w:val="0"/>
              <w:spacing w:after="0" w:line="250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u w:val="single"/>
                <w:lang w:eastAsia="ru-RU"/>
              </w:rPr>
              <w:t>Послеродовые гнойно-септические заболевания.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:rsidR="00061D02" w:rsidRDefault="00061D02" w:rsidP="00061D02">
            <w:pPr>
              <w:widowControl w:val="0"/>
              <w:spacing w:after="0" w:line="250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Этиология, патогенез; структура, пути распространения инфекции в организме; классификация, </w:t>
            </w:r>
            <w:proofErr w:type="gram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клиника,;</w:t>
            </w:r>
            <w:proofErr w:type="gram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формы; осложнения, забор материалов для исследования; общая терапия.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061D0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Социально-правовая помощь матери и ребенку.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Методы, формы, основные законы по охране здоровья беременных и кормящих матерей,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охране материнства и детства. Социально-правовая работа, патронаж.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1.26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5200A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занятие 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Планирование</w:t>
            </w:r>
            <w:proofErr w:type="gramEnd"/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семьи, контрацепция</w:t>
            </w:r>
          </w:p>
          <w:p w:rsidR="00061D02" w:rsidRPr="00061D02" w:rsidRDefault="00061D02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Выявление пациентов,</w:t>
            </w:r>
            <w:r w:rsidR="005200A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нуждающихся в планировании семьи, предупреждение не планированной беремен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ности, классификация противозачаточных средств. Способы стерилизации.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1.27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5200A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Лекарствоведение</w:t>
            </w:r>
          </w:p>
          <w:p w:rsidR="00061D02" w:rsidRPr="00061D02" w:rsidRDefault="00061D02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Лекарственные средства в акушерско-гинекологической практике, порядок выписывания лекарств, хранение, учет, применение, учет наркотиков.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Гинекология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32: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14: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18: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Задачи гинекологии. Симптоматология гинекологических заболеваний.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Физиология и патология менструального цикла</w:t>
            </w:r>
          </w:p>
          <w:p w:rsidR="00061D02" w:rsidRP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Методы обследования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гинекологических больных; классификация расстройств; диагностика и лечение основных форм патологии менструального цикла.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Воспалительные гинекологические заболевания неспецифической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этиологии.</w:t>
            </w: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Возбудители, пути инфицирования и распространения возбудителя в организме. Классификация, клинические признаки, диагностика лечение. Уход, лечебные процедуры, лечение полового партнера, критерии </w:t>
            </w:r>
            <w:proofErr w:type="spellStart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излеченности</w:t>
            </w:r>
            <w:proofErr w:type="spellEnd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; профилактика, диспансеризация.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Воспалительные гинекологические заболевания специфической этиологии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Гонорея, трихомоноз, туберкулез генитальный: возбудители, клиника, методы диагностики; провокации при хронической гонорее, туберкулиновые реакции; общее и местное лечение.</w:t>
            </w:r>
            <w:r w:rsidR="005200AF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Доброкачественные новообразования женских половых органов</w:t>
            </w:r>
          </w:p>
          <w:p w:rsid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Классификация, </w:t>
            </w:r>
            <w:proofErr w:type="spellStart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этипатогенез</w:t>
            </w:r>
            <w:proofErr w:type="spellEnd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, симптомы, диагноз, осложнения, лечение, миома и беременность. Методы исследования, подготовка больных, подготовка инструментов. Участие в диагностическом выскабливании, </w:t>
            </w:r>
            <w:proofErr w:type="spellStart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лапороскопии</w:t>
            </w:r>
            <w:proofErr w:type="spellEnd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кульдоскопии</w:t>
            </w:r>
            <w:proofErr w:type="spellEnd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гистероскопии</w:t>
            </w:r>
            <w:proofErr w:type="spellEnd"/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  <w:p w:rsidR="005200AF" w:rsidRDefault="005200AF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 xml:space="preserve">Предраковые заболевания женских половых органов. </w:t>
            </w:r>
            <w:r w:rsidR="00061D02" w:rsidRPr="005200AF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Организация </w:t>
            </w:r>
            <w:proofErr w:type="gramStart"/>
            <w:r w:rsidR="00061D02" w:rsidRPr="005200AF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61D02" w:rsidRPr="005200AF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их</w:t>
            </w:r>
            <w:proofErr w:type="gramEnd"/>
            <w:r w:rsidR="00061D02" w:rsidRPr="005200AF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выявлению.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Предраковые заболевания наружных половых органов, влагалища, тела и шейки матки, маточных труб: этиология, клиника, диагностика, лечение.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06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u w:val="single"/>
                <w:lang w:eastAsia="ru-RU"/>
              </w:rPr>
              <w:t>Злокачественные новообразования женских половых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органов</w:t>
            </w:r>
          </w:p>
          <w:p w:rsidR="00061D02" w:rsidRDefault="00061D02" w:rsidP="00061D0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Ранняя диагностика, клиника, лечение, массовые профилактические осмотры женщин. Уход за больными, оперированными по поводу злокачественных опухолей.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061D0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Лекция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«Острый живот» в гинекологии.</w:t>
            </w:r>
            <w:r w:rsidR="00061D02"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:rsidR="00061D02" w:rsidRDefault="00061D02" w:rsidP="005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Заболевания, при которых </w:t>
            </w:r>
            <w:proofErr w:type="gram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развивается</w:t>
            </w:r>
            <w:r w:rsidR="005200A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«</w:t>
            </w:r>
            <w:proofErr w:type="gram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острый живот»: клиника, диагностика; методы обследования; тактика акушерки, подготовка инструментария, системы для инфузионной терапии, забор крови для исследования.</w:t>
            </w:r>
          </w:p>
          <w:p w:rsidR="005200AF" w:rsidRPr="00061D02" w:rsidRDefault="005200AF" w:rsidP="005200AF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Неонатология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8: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4: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5200AF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Перинатальная смертность и заболеваемость. АФО новорожденного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 xml:space="preserve">.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Уход за новорожденным. Вскармливание. Вакцинация против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туберкулеза.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 xml:space="preserve"> Способы подсчета перинатальной заболеваемости и смертности, меры профилактики. Антропометрия новорожденного; первичная обработка новорожденного, уход, вскармливание, докорм, техника вакцинации БЦЖ. Критерии выписки.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5200AF" w:rsidP="00061D0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061D02" w:rsidRPr="00061D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АФО недоношенного ребенка. Выхаживание недоношенного ребенка.</w:t>
            </w:r>
          </w:p>
          <w:p w:rsidR="00061D02" w:rsidRPr="00061D02" w:rsidRDefault="00061D02" w:rsidP="00061D02">
            <w:pPr>
              <w:spacing w:after="0" w:line="240" w:lineRule="atLeast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Антропометрические данные по степеням недоношенности, профилактика осложнений, тепловой режим, виды </w:t>
            </w:r>
            <w:proofErr w:type="spellStart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кювезов</w:t>
            </w:r>
            <w:proofErr w:type="spellEnd"/>
            <w:r w:rsidRPr="00061D0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профилактика расстройств дыхания, вскармливание, критерии выписки.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AF" w:rsidRDefault="005200AF" w:rsidP="005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Практическое занятие</w:t>
            </w:r>
          </w:p>
          <w:p w:rsidR="00061D02" w:rsidRPr="00061D02" w:rsidRDefault="00061D02" w:rsidP="00061D02">
            <w:pPr>
              <w:widowControl w:val="0"/>
              <w:tabs>
                <w:tab w:val="left" w:pos="6555"/>
                <w:tab w:val="left" w:pos="6697"/>
                <w:tab w:val="left" w:pos="6872"/>
              </w:tabs>
              <w:spacing w:after="0" w:line="240" w:lineRule="auto"/>
              <w:jc w:val="both"/>
              <w:rPr>
                <w:rFonts w:ascii="Times New Roman" w:eastAsia="Garamond" w:hAnsi="Times New Roman" w:cs="Garamond"/>
                <w:color w:val="000000"/>
                <w:sz w:val="23"/>
                <w:szCs w:val="23"/>
                <w:u w:val="single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color w:val="000000"/>
                <w:sz w:val="23"/>
                <w:szCs w:val="23"/>
                <w:u w:val="single"/>
                <w:lang w:eastAsia="ru-RU"/>
              </w:rPr>
              <w:t>Ведение детей, родившихся в асфиксии и с родовыми травмами.</w:t>
            </w:r>
          </w:p>
          <w:p w:rsidR="00061D02" w:rsidRPr="00061D02" w:rsidRDefault="00061D02" w:rsidP="00061D0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Garamond" w:hAnsi="Times New Roman" w:cs="Garamond"/>
                <w:color w:val="000000"/>
                <w:sz w:val="23"/>
                <w:szCs w:val="23"/>
                <w:u w:val="single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color w:val="000000"/>
                <w:sz w:val="23"/>
                <w:szCs w:val="23"/>
                <w:lang w:eastAsia="ru-RU"/>
              </w:rPr>
              <w:t xml:space="preserve">Асфиксия, причины, состояния по шкале </w:t>
            </w:r>
            <w:proofErr w:type="spellStart"/>
            <w:r w:rsidRPr="00061D02">
              <w:rPr>
                <w:rFonts w:ascii="Times New Roman" w:eastAsia="Garamond" w:hAnsi="Times New Roman" w:cs="Garamond"/>
                <w:color w:val="000000"/>
                <w:sz w:val="23"/>
                <w:szCs w:val="23"/>
                <w:lang w:eastAsia="ru-RU"/>
              </w:rPr>
              <w:t>Апгар</w:t>
            </w:r>
            <w:proofErr w:type="spellEnd"/>
            <w:r w:rsidRPr="00061D02">
              <w:rPr>
                <w:rFonts w:ascii="Times New Roman" w:eastAsia="Garamond" w:hAnsi="Times New Roman" w:cs="Garamond"/>
                <w:color w:val="000000"/>
                <w:sz w:val="23"/>
                <w:szCs w:val="23"/>
                <w:lang w:eastAsia="ru-RU"/>
              </w:rPr>
              <w:t>, уход. «Родовая травма»: клинические признаки, оказание неотложной помощи, особенности ухода.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142540" w:rsidP="00142540">
            <w:pPr>
              <w:spacing w:after="0" w:line="240" w:lineRule="auto"/>
              <w:jc w:val="both"/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Практическое занятие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Заболевания периода новорожденности. Инфекционные заболевания</w:t>
            </w:r>
            <w:r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="00061D02"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u w:val="single"/>
                <w:lang w:eastAsia="ru-RU"/>
              </w:rPr>
              <w:t>новорожденных и грудных детей.</w:t>
            </w:r>
          </w:p>
          <w:p w:rsidR="00061D02" w:rsidRPr="00061D02" w:rsidRDefault="00061D02" w:rsidP="00061D02">
            <w:pPr>
              <w:widowControl w:val="0"/>
              <w:tabs>
                <w:tab w:val="left" w:pos="6413"/>
                <w:tab w:val="left" w:pos="6555"/>
                <w:tab w:val="left" w:pos="6697"/>
                <w:tab w:val="left" w:pos="6872"/>
              </w:tabs>
              <w:spacing w:after="0" w:line="240" w:lineRule="auto"/>
              <w:jc w:val="both"/>
              <w:rPr>
                <w:rFonts w:ascii="Times New Roman" w:eastAsia="Garamond" w:hAnsi="Times New Roman" w:cs="Garamond"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Garamond" w:hAnsi="Times New Roman" w:cs="Garamond"/>
                <w:bCs/>
                <w:color w:val="000000"/>
                <w:sz w:val="23"/>
                <w:szCs w:val="23"/>
                <w:lang w:eastAsia="ru-RU"/>
              </w:rPr>
              <w:t>Гемолитическая болезнь новорожденного, пупочные кровотечения, гнойно-септические заболевания, сепсис, вирусно-бактериальные инфекции. Роль акушерки в ранней диагностике, профилактике.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Региональный компонент.</w:t>
            </w: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ab/>
            </w:r>
            <w:r w:rsidRPr="0014254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Pr="001425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Этиология и патогенез туберкулеза.</w:t>
            </w:r>
            <w:r w:rsidRPr="00061D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Нормативно-правовая документация по профилактике туберкулеза в МО. Специфическая профилактика туберкулеза.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аттестация </w:t>
            </w:r>
            <w:r w:rsidRPr="000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061D02" w:rsidRPr="00061D02" w:rsidTr="00061D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5" w:type="dxa"/>
          <w:wAfter w:w="152" w:type="dxa"/>
          <w:trHeight w:val="18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02" w:rsidRPr="00061D02" w:rsidRDefault="00061D02" w:rsidP="00061D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1D02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</w:tr>
    </w:tbl>
    <w:p w:rsidR="00061D02" w:rsidRPr="00061D02" w:rsidRDefault="00061D02" w:rsidP="00061D0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469EC" w:rsidRDefault="007469EC"/>
    <w:sectPr w:rsidR="0074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02"/>
    <w:rsid w:val="00061D02"/>
    <w:rsid w:val="00142540"/>
    <w:rsid w:val="001A2BCB"/>
    <w:rsid w:val="005200AF"/>
    <w:rsid w:val="006F63D2"/>
    <w:rsid w:val="0072031A"/>
    <w:rsid w:val="007469EC"/>
    <w:rsid w:val="00B94279"/>
    <w:rsid w:val="00ED7CD4"/>
    <w:rsid w:val="00F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1516-F24E-4200-89C4-1312FE4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2022-12-01T05:58:00Z</dcterms:created>
  <dcterms:modified xsi:type="dcterms:W3CDTF">2022-12-01T05:58:00Z</dcterms:modified>
</cp:coreProperties>
</file>