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2371B6" w:rsidTr="002371B6">
        <w:tc>
          <w:tcPr>
            <w:tcW w:w="5670" w:type="dxa"/>
          </w:tcPr>
          <w:p w:rsidR="002371B6" w:rsidRDefault="002371B6" w:rsidP="002371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371B6" w:rsidRDefault="002371B6" w:rsidP="002371B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2371B6" w:rsidRDefault="002371B6" w:rsidP="002371B6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2371B6" w:rsidRDefault="002371B6" w:rsidP="002371B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2371B6" w:rsidRDefault="002371B6" w:rsidP="002371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71B6" w:rsidRPr="00A204BB" w:rsidRDefault="002371B6" w:rsidP="002371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71B6" w:rsidRPr="00A204BB" w:rsidRDefault="002371B6" w:rsidP="002371B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2371B6" w:rsidRDefault="002371B6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Медицинский и социальный уход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2371B6" w:rsidRPr="00D83E4E" w:rsidRDefault="002371B6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2371B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:rsidR="002371B6" w:rsidRPr="00A204BB" w:rsidRDefault="000802A7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9955F8" w:rsidRPr="00A204BB" w:rsidRDefault="00D37DEA" w:rsidP="002371B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2371B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13106" w:rsidRDefault="000802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0162924" w:history="1">
        <w:r w:rsidR="00A13106" w:rsidRPr="00E74B62">
          <w:rPr>
            <w:rStyle w:val="ae"/>
            <w:rFonts w:ascii="Times New Roman" w:hAnsi="Times New Roman"/>
            <w:noProof/>
          </w:rPr>
          <w:t>1.ОСНОВНЫЕ ТРЕБОВАНИЯКОМПЕТЕНЦИИ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5" w:history="1">
        <w:r w:rsidR="00A13106" w:rsidRPr="00E74B62">
          <w:rPr>
            <w:rStyle w:val="ae"/>
            <w:noProof/>
          </w:rPr>
          <w:t>1.1. Общие сведения о требованияхкомпетенции</w:t>
        </w:r>
        <w:r w:rsidR="00A13106">
          <w:rPr>
            <w:noProof/>
            <w:webHidden/>
          </w:rPr>
          <w:tab/>
          <w:t>…</w:t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6" w:history="1">
        <w:r w:rsidR="00A13106" w:rsidRPr="00E74B62">
          <w:rPr>
            <w:rStyle w:val="ae"/>
            <w:noProof/>
          </w:rPr>
          <w:t>1.2. Перечень профессиональных</w:t>
        </w:r>
        <w:r w:rsidR="00A13106">
          <w:rPr>
            <w:rStyle w:val="ae"/>
            <w:noProof/>
          </w:rPr>
          <w:t xml:space="preserve"> </w:t>
        </w:r>
        <w:r w:rsidR="00A13106" w:rsidRPr="00E74B62">
          <w:rPr>
            <w:rStyle w:val="ae"/>
            <w:noProof/>
          </w:rPr>
          <w:t>задач специалиста по компетенции «Медицинский и социальный уход»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7" w:history="1">
        <w:r w:rsidR="00A13106" w:rsidRPr="00E74B62">
          <w:rPr>
            <w:rStyle w:val="ae"/>
            <w:noProof/>
          </w:rPr>
          <w:t>1.3. Требования к схеме оценки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8" w:history="1">
        <w:r w:rsidR="00A13106" w:rsidRPr="00E74B62">
          <w:rPr>
            <w:rStyle w:val="ae"/>
            <w:noProof/>
          </w:rPr>
          <w:t>1.4. Спецификация оценки 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9" w:history="1">
        <w:r w:rsidR="00A13106" w:rsidRPr="00E74B62">
          <w:rPr>
            <w:rStyle w:val="ae"/>
            <w:noProof/>
          </w:rPr>
          <w:t>1.5. Конкурсное задание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0" w:history="1">
        <w:r w:rsidR="00A13106" w:rsidRPr="00E74B62">
          <w:rPr>
            <w:rStyle w:val="ae"/>
            <w:noProof/>
          </w:rPr>
          <w:t>1.5.1. Разработка/выбор конкурсного задания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1" w:history="1">
        <w:r w:rsidR="00A13106" w:rsidRPr="00E74B62">
          <w:rPr>
            <w:rStyle w:val="ae"/>
            <w:noProof/>
          </w:rPr>
          <w:t>1.5.2. Структура модулей конкурсного задания (инвариант/вариатив)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2" w:history="1">
        <w:r w:rsidR="00A13106" w:rsidRPr="00E74B62">
          <w:rPr>
            <w:rStyle w:val="ae"/>
            <w:noProof/>
          </w:rPr>
          <w:t>2. СПЕЦИАЛЬНЫЕ ПРАВИЛА 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3" w:history="1">
        <w:r w:rsidR="00A13106" w:rsidRPr="00E74B62">
          <w:rPr>
            <w:rStyle w:val="ae"/>
            <w:noProof/>
          </w:rPr>
          <w:t xml:space="preserve">2.1. </w:t>
        </w:r>
        <w:r w:rsidR="00A13106" w:rsidRPr="00E74B62">
          <w:rPr>
            <w:rStyle w:val="ae"/>
            <w:bCs/>
            <w:iCs/>
            <w:noProof/>
          </w:rPr>
          <w:t>Личный инструмент конкурсанта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4" w:history="1">
        <w:r w:rsidR="00A13106" w:rsidRPr="00E74B62">
          <w:rPr>
            <w:rStyle w:val="ae"/>
            <w:noProof/>
          </w:rPr>
          <w:t>2.2.Материалы, оборудование и инструменты, запрещенные на площадке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13106" w:rsidRDefault="000802A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5" w:history="1">
        <w:r w:rsidR="00A13106" w:rsidRPr="00E74B62">
          <w:rPr>
            <w:rStyle w:val="ae"/>
            <w:noProof/>
          </w:rPr>
          <w:t>3. ПРИЛОЖЕНИЯ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0802A7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A13106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A1310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A13106" w:rsidRPr="00A204BB" w:rsidRDefault="00A13106" w:rsidP="00A13106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bookmarkStart w:id="2" w:name="_Toc15016292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:rsidR="00A13106" w:rsidRPr="00D17132" w:rsidRDefault="00A13106" w:rsidP="00A13106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bookmarkStart w:id="4" w:name="_Toc150162925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:rsidR="00E857D6" w:rsidRPr="00A204BB" w:rsidRDefault="00D37DE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5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5016292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7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</w:t>
            </w: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хранения стерильных медицинских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стерилизацию медицинских изделий, 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работе медицинские информационные системы и информационно-телекоммуникационную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lastRenderedPageBreak/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Психология общения с пациентом, находящимся в терминальной стадии болезни, способы оказания психологической поддержки родственникам (законным </w:t>
            </w:r>
            <w:r w:rsidRPr="002F303A">
              <w:rPr>
                <w:sz w:val="28"/>
                <w:szCs w:val="28"/>
              </w:rPr>
              <w:lastRenderedPageBreak/>
              <w:t>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Осуществлять раздачу и применение лекарственных </w:t>
            </w:r>
            <w:r w:rsidRPr="009B1417">
              <w:rPr>
                <w:sz w:val="28"/>
                <w:szCs w:val="28"/>
              </w:rPr>
              <w:lastRenderedPageBreak/>
              <w:t>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Оказывать медицинскую помощь в неотложной форме </w:t>
            </w:r>
            <w:r w:rsidRPr="009B1417">
              <w:rPr>
                <w:sz w:val="28"/>
                <w:szCs w:val="28"/>
              </w:rPr>
              <w:lastRenderedPageBreak/>
              <w:t>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лекарственных препаратов и медицинских изделий при оказании медицинской </w:t>
            </w:r>
            <w:r w:rsidRPr="009B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106" w:rsidRPr="00D83E4E" w:rsidRDefault="00A13106" w:rsidP="00A13106">
      <w:pPr>
        <w:pStyle w:val="-2"/>
        <w:jc w:val="center"/>
        <w:rPr>
          <w:rFonts w:ascii="Times New Roman" w:hAnsi="Times New Roman"/>
          <w:sz w:val="24"/>
        </w:rPr>
      </w:pPr>
      <w:bookmarkStart w:id="8" w:name="_Toc78885655"/>
      <w:bookmarkStart w:id="9" w:name="_Toc142037186"/>
      <w:bookmarkStart w:id="10" w:name="_Toc150162927"/>
      <w:r w:rsidRPr="00D83E4E">
        <w:rPr>
          <w:rFonts w:ascii="Times New Roman" w:hAnsi="Times New Roman"/>
          <w:sz w:val="24"/>
        </w:rPr>
        <w:lastRenderedPageBreak/>
        <w:t>1.3. ТРЕБОВАНИЯ К СХЕМЕ ОЦЕНКИ</w:t>
      </w:r>
      <w:bookmarkEnd w:id="8"/>
      <w:bookmarkEnd w:id="9"/>
      <w:bookmarkEnd w:id="10"/>
    </w:p>
    <w:p w:rsidR="00A13106" w:rsidRDefault="00A13106" w:rsidP="00A131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A13106" w:rsidRDefault="00C25A8A" w:rsidP="00C17B01">
            <w:pPr>
              <w:ind w:right="172" w:hanging="176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25A8A" w:rsidRPr="00C25A8A" w:rsidRDefault="00C25A8A" w:rsidP="00A13106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A13106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</w:t>
            </w:r>
          </w:p>
          <w:p w:rsidR="00C25A8A" w:rsidRPr="00C25A8A" w:rsidRDefault="00C25A8A" w:rsidP="00A13106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>З</w:t>
            </w:r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:rsidR="00DE39D8" w:rsidRPr="00A13106" w:rsidRDefault="00F8340A" w:rsidP="00A13106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11" w:name="_Toc150162928"/>
      <w:r w:rsidRPr="00A13106">
        <w:rPr>
          <w:rFonts w:ascii="Times New Roman" w:hAnsi="Times New Roman"/>
          <w:szCs w:val="28"/>
        </w:rPr>
        <w:t>1</w:t>
      </w:r>
      <w:r w:rsidR="00643A8A" w:rsidRPr="00A13106">
        <w:rPr>
          <w:rFonts w:ascii="Times New Roman" w:hAnsi="Times New Roman"/>
          <w:szCs w:val="28"/>
        </w:rPr>
        <w:t>.</w:t>
      </w:r>
      <w:r w:rsidRPr="00A13106">
        <w:rPr>
          <w:rFonts w:ascii="Times New Roman" w:hAnsi="Times New Roman"/>
          <w:szCs w:val="28"/>
        </w:rPr>
        <w:t>4</w:t>
      </w:r>
      <w:r w:rsidR="00AA2B8A" w:rsidRPr="00A13106">
        <w:rPr>
          <w:rFonts w:ascii="Times New Roman" w:hAnsi="Times New Roman"/>
          <w:szCs w:val="28"/>
        </w:rPr>
        <w:t xml:space="preserve">. </w:t>
      </w:r>
      <w:r w:rsidR="007A6888" w:rsidRPr="00A13106">
        <w:rPr>
          <w:rFonts w:ascii="Times New Roman" w:hAnsi="Times New Roman"/>
          <w:szCs w:val="28"/>
        </w:rPr>
        <w:t>СПЕЦИФИКАЦИЯ ОЦЕНКИ КОМПЕТЕНЦИИ</w:t>
      </w:r>
      <w:bookmarkEnd w:id="11"/>
    </w:p>
    <w:p w:rsidR="009B1417" w:rsidRPr="00A13106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0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13106">
        <w:rPr>
          <w:rFonts w:ascii="Times New Roman" w:hAnsi="Times New Roman" w:cs="Times New Roman"/>
          <w:sz w:val="28"/>
          <w:szCs w:val="28"/>
        </w:rPr>
        <w:t>К</w:t>
      </w:r>
      <w:r w:rsidRPr="00A1310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A1310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 xml:space="preserve">Патронаж пациента  с хронической болезнью </w:t>
            </w:r>
            <w:r w:rsidRPr="00C25A8A">
              <w:rPr>
                <w:b/>
                <w:sz w:val="24"/>
                <w:szCs w:val="24"/>
              </w:rPr>
              <w:lastRenderedPageBreak/>
              <w:t>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A13106" w:rsidRDefault="005A1625" w:rsidP="00A13106">
      <w:pPr>
        <w:pStyle w:val="-2"/>
        <w:jc w:val="center"/>
        <w:rPr>
          <w:rFonts w:ascii="Times New Roman" w:hAnsi="Times New Roman"/>
        </w:rPr>
      </w:pPr>
      <w:bookmarkStart w:id="12" w:name="_Toc150162929"/>
      <w:r w:rsidRPr="00A13106">
        <w:rPr>
          <w:rFonts w:ascii="Times New Roman" w:hAnsi="Times New Roman"/>
        </w:rPr>
        <w:t>1.5. КОНКУРСНОЕ ЗАДАНИЕ</w:t>
      </w:r>
      <w:bookmarkEnd w:id="12"/>
    </w:p>
    <w:p w:rsidR="009E52E7" w:rsidRPr="003732A7" w:rsidRDefault="009E52E7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A13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13106" w:rsidRDefault="005A1625" w:rsidP="00A13106">
      <w:pPr>
        <w:pStyle w:val="-2"/>
        <w:jc w:val="center"/>
        <w:rPr>
          <w:rFonts w:ascii="Times New Roman" w:hAnsi="Times New Roman"/>
        </w:rPr>
      </w:pPr>
      <w:bookmarkStart w:id="13" w:name="_Toc150162930"/>
      <w:r w:rsidRPr="00A13106">
        <w:rPr>
          <w:rFonts w:ascii="Times New Roman" w:hAnsi="Times New Roman"/>
        </w:rPr>
        <w:t xml:space="preserve">1.5.1. </w:t>
      </w:r>
      <w:r w:rsidR="008C41F7" w:rsidRPr="00A13106">
        <w:rPr>
          <w:rFonts w:ascii="Times New Roman" w:hAnsi="Times New Roman"/>
        </w:rPr>
        <w:t>Разработка/выбор конкурсного задания</w:t>
      </w:r>
      <w:bookmarkEnd w:id="13"/>
    </w:p>
    <w:p w:rsid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A13106" w:rsidRDefault="00730AE0" w:rsidP="00A13106">
      <w:pPr>
        <w:pStyle w:val="-2"/>
        <w:jc w:val="center"/>
        <w:rPr>
          <w:rFonts w:ascii="Times New Roman" w:hAnsi="Times New Roman"/>
        </w:rPr>
      </w:pPr>
      <w:bookmarkStart w:id="14" w:name="_Toc150162931"/>
      <w:r w:rsidRPr="00A13106">
        <w:rPr>
          <w:rFonts w:ascii="Times New Roman" w:hAnsi="Times New Roman"/>
        </w:rPr>
        <w:t>1.5.2. Структура модулей конкурсного задания</w:t>
      </w:r>
      <w:r w:rsidR="007469DE" w:rsidRPr="00A13106">
        <w:rPr>
          <w:rFonts w:ascii="Times New Roman" w:hAnsi="Times New Roman"/>
        </w:rPr>
        <w:t xml:space="preserve"> </w:t>
      </w:r>
      <w:r w:rsidR="000B55A2" w:rsidRPr="00A13106">
        <w:rPr>
          <w:rFonts w:ascii="Times New Roman" w:hAnsi="Times New Roman"/>
        </w:rPr>
        <w:t>(инвариант/вариатив)</w:t>
      </w:r>
      <w:bookmarkEnd w:id="14"/>
    </w:p>
    <w:p w:rsidR="00730AE0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  <w:bookmarkStart w:id="15" w:name="_GoBack"/>
      <w:bookmarkEnd w:id="15"/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A131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Заполнить медицинскую документацию.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A13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Стебновскому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дистальная сенсомоторная полинейропатия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A13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871" w:rsidRDefault="00193871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A13106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A13106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:rsidR="00D812B0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P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 w:rsidR="00D812B0" w:rsidRPr="00C97E44" w:rsidRDefault="00D812B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Атопическая бронхиальная астма средней степени тяжести. Стадия обострения. Дыхательная недостаточность I степени.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 это пустой тратой времени. Пациент работает в книжном магазине и живет в квартире. </w:t>
      </w:r>
    </w:p>
    <w:p w:rsid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</w:t>
      </w:r>
      <w:r w:rsidR="00C5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(тему постера обозначает ГЭ чемпионата)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A1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 w:rsidR="004273E2" w:rsidRP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A13106" w:rsidRDefault="0060658F" w:rsidP="00A13106">
      <w:pPr>
        <w:pStyle w:val="-2"/>
        <w:jc w:val="center"/>
        <w:rPr>
          <w:rFonts w:ascii="Times New Roman" w:hAnsi="Times New Roman"/>
        </w:rPr>
      </w:pPr>
      <w:bookmarkStart w:id="16" w:name="_Toc78885643"/>
      <w:bookmarkStart w:id="17" w:name="_Toc150162932"/>
      <w:r w:rsidRPr="00A13106">
        <w:rPr>
          <w:rFonts w:ascii="Times New Roman" w:hAnsi="Times New Roman"/>
        </w:rPr>
        <w:lastRenderedPageBreak/>
        <w:t xml:space="preserve">2. </w:t>
      </w:r>
      <w:r w:rsidR="00D17132" w:rsidRPr="00A13106">
        <w:rPr>
          <w:rFonts w:ascii="Times New Roman" w:hAnsi="Times New Roman"/>
        </w:rPr>
        <w:t>СПЕЦИАЛЬНЫЕ ПРАВИЛА КОМПЕТЕНЦИИ</w:t>
      </w:r>
      <w:r w:rsidR="00D17132" w:rsidRPr="00A13106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6"/>
      <w:bookmarkEnd w:id="17"/>
    </w:p>
    <w:p w:rsidR="00EA30C6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A13106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A13106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A13106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A13106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емпионата, методом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>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A13106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8" w:name="_Toc78885659"/>
      <w:bookmarkStart w:id="19" w:name="_Toc150162933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8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9"/>
    </w:p>
    <w:p w:rsidR="00E15F2A" w:rsidRPr="001E1F9A" w:rsidRDefault="00E15F2A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A13106" w:rsidRDefault="00A11569" w:rsidP="00A13106">
      <w:pPr>
        <w:pStyle w:val="-2"/>
        <w:jc w:val="center"/>
        <w:rPr>
          <w:rFonts w:ascii="Times New Roman" w:hAnsi="Times New Roman"/>
          <w:bCs/>
        </w:rPr>
      </w:pPr>
      <w:bookmarkStart w:id="20" w:name="_Toc78885660"/>
      <w:bookmarkStart w:id="21" w:name="_Toc150162934"/>
      <w:r w:rsidRPr="00A13106">
        <w:rPr>
          <w:rFonts w:ascii="Times New Roman" w:hAnsi="Times New Roman"/>
        </w:rPr>
        <w:t>2</w:t>
      </w:r>
      <w:r w:rsidR="00FB022D" w:rsidRPr="00A13106">
        <w:rPr>
          <w:rFonts w:ascii="Times New Roman" w:hAnsi="Times New Roman"/>
        </w:rPr>
        <w:t>.2.</w:t>
      </w:r>
      <w:r w:rsidR="00E15F2A" w:rsidRPr="00A13106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20"/>
      <w:bookmarkEnd w:id="21"/>
    </w:p>
    <w:p w:rsidR="00603BC7" w:rsidRPr="001E1F9A" w:rsidRDefault="00603BC7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A13106" w:rsidRDefault="00A13106" w:rsidP="00A13106">
      <w:pPr>
        <w:pStyle w:val="-2"/>
        <w:jc w:val="center"/>
        <w:rPr>
          <w:rFonts w:ascii="Times New Roman" w:hAnsi="Times New Roman"/>
        </w:rPr>
      </w:pPr>
      <w:bookmarkStart w:id="22" w:name="_Toc150162935"/>
      <w:r w:rsidRPr="00A13106">
        <w:rPr>
          <w:rFonts w:ascii="Times New Roman" w:hAnsi="Times New Roman"/>
        </w:rPr>
        <w:lastRenderedPageBreak/>
        <w:t>3. ПРИЛОЖЕНИЯ</w:t>
      </w:r>
      <w:bookmarkEnd w:id="22"/>
    </w:p>
    <w:p w:rsidR="00945E13" w:rsidRPr="00E511E3" w:rsidRDefault="00A1156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заполнению матрицы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945E1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№2 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Матрица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Инфраструктурный лист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застройки</w:t>
      </w:r>
    </w:p>
    <w:p w:rsidR="00A27EE4" w:rsidRPr="00E511E3" w:rsidRDefault="00B37579" w:rsidP="00A131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охране труда по компетенции «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 социальный уход»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1E3" w:rsidRPr="00E511E3" w:rsidRDefault="00E511E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406A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в форме электронного документа</w:t>
      </w:r>
    </w:p>
    <w:p w:rsidR="0077115D" w:rsidRDefault="00E511E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406A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для письменного заполнения</w:t>
      </w:r>
      <w:r w:rsidR="007B3FD5" w:rsidRPr="00D76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269" w:rsidRPr="0077115D" w:rsidRDefault="0077115D" w:rsidP="0077115D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1269" w:rsidRPr="0077115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52" w:rsidRDefault="00AC4C52" w:rsidP="00970F49">
      <w:pPr>
        <w:spacing w:after="0" w:line="240" w:lineRule="auto"/>
      </w:pPr>
      <w:r>
        <w:separator/>
      </w:r>
    </w:p>
  </w:endnote>
  <w:endnote w:type="continuationSeparator" w:id="1">
    <w:p w:rsidR="00AC4C52" w:rsidRDefault="00AC4C5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2371B6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371B6" w:rsidRPr="00A204BB" w:rsidRDefault="002371B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371B6" w:rsidRPr="00A204BB" w:rsidRDefault="000802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371B6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06A7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371B6" w:rsidRDefault="00237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52" w:rsidRDefault="00AC4C52" w:rsidP="00970F49">
      <w:pPr>
        <w:spacing w:after="0" w:line="240" w:lineRule="auto"/>
      </w:pPr>
      <w:r>
        <w:separator/>
      </w:r>
    </w:p>
  </w:footnote>
  <w:footnote w:type="continuationSeparator" w:id="1">
    <w:p w:rsidR="00AC4C52" w:rsidRDefault="00AC4C52" w:rsidP="00970F49">
      <w:pPr>
        <w:spacing w:after="0" w:line="240" w:lineRule="auto"/>
      </w:pPr>
      <w:r>
        <w:continuationSeparator/>
      </w:r>
    </w:p>
  </w:footnote>
  <w:footnote w:id="2">
    <w:p w:rsidR="002371B6" w:rsidRDefault="002371B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2371B6" w:rsidRDefault="002371B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B6" w:rsidRPr="00B45AA4" w:rsidRDefault="002371B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68E8"/>
    <w:rsid w:val="00041A78"/>
    <w:rsid w:val="00056CDE"/>
    <w:rsid w:val="00067386"/>
    <w:rsid w:val="000802A7"/>
    <w:rsid w:val="00081D65"/>
    <w:rsid w:val="00096F8A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1B6"/>
    <w:rsid w:val="00237603"/>
    <w:rsid w:val="002651E4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3ED9"/>
    <w:rsid w:val="0037535C"/>
    <w:rsid w:val="003934F8"/>
    <w:rsid w:val="00397A1B"/>
    <w:rsid w:val="003A21C8"/>
    <w:rsid w:val="003C1D7A"/>
    <w:rsid w:val="003C5F97"/>
    <w:rsid w:val="003D1E51"/>
    <w:rsid w:val="00406A7A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429B"/>
    <w:rsid w:val="004904C5"/>
    <w:rsid w:val="004917C4"/>
    <w:rsid w:val="004A07A5"/>
    <w:rsid w:val="004B692B"/>
    <w:rsid w:val="004C3CAF"/>
    <w:rsid w:val="004C3D7E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0F"/>
    <w:rsid w:val="0063396F"/>
    <w:rsid w:val="00640E46"/>
    <w:rsid w:val="0064179C"/>
    <w:rsid w:val="00643A8A"/>
    <w:rsid w:val="0064491A"/>
    <w:rsid w:val="00653B50"/>
    <w:rsid w:val="006776B4"/>
    <w:rsid w:val="00686605"/>
    <w:rsid w:val="006873B8"/>
    <w:rsid w:val="006B0FEA"/>
    <w:rsid w:val="006C5C50"/>
    <w:rsid w:val="006C6D6D"/>
    <w:rsid w:val="006C7A3B"/>
    <w:rsid w:val="006C7CE4"/>
    <w:rsid w:val="006E35F9"/>
    <w:rsid w:val="006E4635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115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766CD"/>
    <w:rsid w:val="00881DD2"/>
    <w:rsid w:val="00882B54"/>
    <w:rsid w:val="008912AE"/>
    <w:rsid w:val="00893FE7"/>
    <w:rsid w:val="008A1FAF"/>
    <w:rsid w:val="008A2148"/>
    <w:rsid w:val="008A7D73"/>
    <w:rsid w:val="008B0F23"/>
    <w:rsid w:val="008B560B"/>
    <w:rsid w:val="008B5EE6"/>
    <w:rsid w:val="008C3BF8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0265"/>
    <w:rsid w:val="009F57C0"/>
    <w:rsid w:val="00A0510D"/>
    <w:rsid w:val="00A11569"/>
    <w:rsid w:val="00A13106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901"/>
    <w:rsid w:val="00AC4C52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01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753E"/>
    <w:rsid w:val="00DB09DE"/>
    <w:rsid w:val="00DC58F5"/>
    <w:rsid w:val="00DE39D8"/>
    <w:rsid w:val="00DE5614"/>
    <w:rsid w:val="00E0407E"/>
    <w:rsid w:val="00E04FDF"/>
    <w:rsid w:val="00E15F2A"/>
    <w:rsid w:val="00E26CAF"/>
    <w:rsid w:val="00E279E8"/>
    <w:rsid w:val="00E511E3"/>
    <w:rsid w:val="00E579D6"/>
    <w:rsid w:val="00E75567"/>
    <w:rsid w:val="00E857D6"/>
    <w:rsid w:val="00EA0163"/>
    <w:rsid w:val="00EA0C3A"/>
    <w:rsid w:val="00EA2F80"/>
    <w:rsid w:val="00EA30C6"/>
    <w:rsid w:val="00EB2779"/>
    <w:rsid w:val="00ED18F9"/>
    <w:rsid w:val="00ED53C9"/>
    <w:rsid w:val="00ED78F3"/>
    <w:rsid w:val="00EE5EAC"/>
    <w:rsid w:val="00EE7DA3"/>
    <w:rsid w:val="00F1662D"/>
    <w:rsid w:val="00F3099C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B3C54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9CCF-3C99-4D54-87A1-B4D90D5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Lena</cp:lastModifiedBy>
  <cp:revision>4</cp:revision>
  <dcterms:created xsi:type="dcterms:W3CDTF">2023-11-06T07:53:00Z</dcterms:created>
  <dcterms:modified xsi:type="dcterms:W3CDTF">2023-11-06T10:04:00Z</dcterms:modified>
</cp:coreProperties>
</file>